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0DD95" w14:textId="3ABCB753" w:rsidR="00F419E7" w:rsidRDefault="00295E4C">
      <w:pPr>
        <w:pStyle w:val="Heading1"/>
      </w:pPr>
      <w:bookmarkStart w:id="0" w:name="_GoBack"/>
      <w:bookmarkEnd w:id="0"/>
      <w:r>
        <w:t>Topic</w:t>
      </w:r>
      <w:r w:rsidR="00F419E7">
        <w:t xml:space="preserve"> </w:t>
      </w:r>
      <w:r w:rsidR="008819D7">
        <w:t>4</w:t>
      </w:r>
      <w:r w:rsidR="00C32336">
        <w:t xml:space="preserve"> – Practical 2</w:t>
      </w:r>
    </w:p>
    <w:p w14:paraId="26E166C9" w14:textId="77777777" w:rsidR="00F419E7" w:rsidRPr="00324660" w:rsidRDefault="00397B8C" w:rsidP="0019329D">
      <w:pPr>
        <w:pStyle w:val="Heading2"/>
        <w:spacing w:after="120"/>
        <w:rPr>
          <w:i/>
        </w:rPr>
      </w:pPr>
      <w:r>
        <w:rPr>
          <w:i/>
        </w:rPr>
        <w:t>Experimental determination of refractive index</w:t>
      </w:r>
    </w:p>
    <w:p w14:paraId="3030F5B4" w14:textId="77777777" w:rsidR="0019329D" w:rsidRDefault="0019329D" w:rsidP="00511FE4">
      <w:pPr>
        <w:pStyle w:val="Heading3"/>
        <w:spacing w:before="240"/>
      </w:pPr>
      <w:r>
        <w:t>Safety</w:t>
      </w:r>
    </w:p>
    <w:p w14:paraId="614EB535" w14:textId="77777777" w:rsidR="00295E4C" w:rsidRDefault="00F063B0" w:rsidP="00F063B0">
      <w:pPr>
        <w:pStyle w:val="Liststyle"/>
        <w:ind w:left="360" w:firstLine="0"/>
      </w:pPr>
      <w:r>
        <w:t xml:space="preserve">After prolonged use the ray boxes get hot – avoid contact. </w:t>
      </w:r>
    </w:p>
    <w:p w14:paraId="238AA2A6" w14:textId="77777777" w:rsidR="00295E4C" w:rsidRDefault="00295E4C" w:rsidP="00511FE4">
      <w:pPr>
        <w:pStyle w:val="Heading3"/>
        <w:spacing w:before="240"/>
      </w:pPr>
      <w:r>
        <w:t>Apparatus and materials</w:t>
      </w:r>
    </w:p>
    <w:p w14:paraId="188E7F77" w14:textId="632BE2FC" w:rsidR="00270F92" w:rsidRDefault="000F369F" w:rsidP="0003284D">
      <w:pPr>
        <w:pStyle w:val="Liststyle"/>
        <w:numPr>
          <w:ilvl w:val="0"/>
          <w:numId w:val="7"/>
        </w:numPr>
      </w:pPr>
      <w:proofErr w:type="spellStart"/>
      <w:r>
        <w:t>s</w:t>
      </w:r>
      <w:r w:rsidR="00EC365A">
        <w:t>emi</w:t>
      </w:r>
      <w:r w:rsidR="00CF6AE7">
        <w:t>circular</w:t>
      </w:r>
      <w:proofErr w:type="spellEnd"/>
      <w:r w:rsidR="00CF6AE7">
        <w:t xml:space="preserve"> Perspex block</w:t>
      </w:r>
    </w:p>
    <w:p w14:paraId="2DBCC4CF" w14:textId="01D59A8C" w:rsidR="00CF6AE7" w:rsidRDefault="00EC365A" w:rsidP="0003284D">
      <w:pPr>
        <w:pStyle w:val="Liststyle"/>
        <w:numPr>
          <w:ilvl w:val="0"/>
          <w:numId w:val="7"/>
        </w:numPr>
      </w:pPr>
      <w:r>
        <w:t xml:space="preserve">ray </w:t>
      </w:r>
      <w:r w:rsidR="00CF6AE7">
        <w:t xml:space="preserve">box </w:t>
      </w:r>
    </w:p>
    <w:p w14:paraId="3DD7051A" w14:textId="107C2898" w:rsidR="00CF6AE7" w:rsidRDefault="00EC365A" w:rsidP="0003284D">
      <w:pPr>
        <w:pStyle w:val="Liststyle"/>
        <w:numPr>
          <w:ilvl w:val="0"/>
          <w:numId w:val="7"/>
        </w:numPr>
      </w:pPr>
      <w:r>
        <w:t>power supply</w:t>
      </w:r>
    </w:p>
    <w:p w14:paraId="7CEB905B" w14:textId="2D4CE24C" w:rsidR="00CF6AE7" w:rsidRDefault="00EC365A" w:rsidP="0003284D">
      <w:pPr>
        <w:pStyle w:val="Liststyle"/>
        <w:numPr>
          <w:ilvl w:val="0"/>
          <w:numId w:val="7"/>
        </w:numPr>
      </w:pPr>
      <w:r>
        <w:t>protractor</w:t>
      </w:r>
    </w:p>
    <w:p w14:paraId="740DF20F" w14:textId="79F03976" w:rsidR="00CF6AE7" w:rsidRDefault="00EC365A" w:rsidP="0003284D">
      <w:pPr>
        <w:pStyle w:val="Liststyle"/>
        <w:numPr>
          <w:ilvl w:val="0"/>
          <w:numId w:val="7"/>
        </w:numPr>
      </w:pPr>
      <w:r>
        <w:t>sheet of paper</w:t>
      </w:r>
    </w:p>
    <w:p w14:paraId="560C2528" w14:textId="202BEBF2" w:rsidR="001D1080" w:rsidRDefault="00EC365A" w:rsidP="0003284D">
      <w:pPr>
        <w:pStyle w:val="Liststyle"/>
        <w:numPr>
          <w:ilvl w:val="0"/>
          <w:numId w:val="7"/>
        </w:numPr>
      </w:pPr>
      <w:r>
        <w:t>ruler</w:t>
      </w:r>
    </w:p>
    <w:p w14:paraId="2AFA452D" w14:textId="47670B06" w:rsidR="00CF6AE7" w:rsidRDefault="00EC365A" w:rsidP="0003284D">
      <w:pPr>
        <w:pStyle w:val="Liststyle"/>
        <w:numPr>
          <w:ilvl w:val="0"/>
          <w:numId w:val="7"/>
        </w:numPr>
      </w:pPr>
      <w:r>
        <w:t xml:space="preserve">set square </w:t>
      </w:r>
    </w:p>
    <w:p w14:paraId="5E3C9A6D" w14:textId="77777777" w:rsidR="00295E4C" w:rsidRDefault="00295E4C" w:rsidP="00511FE4">
      <w:pPr>
        <w:pStyle w:val="Heading3"/>
        <w:spacing w:before="240"/>
        <w:ind w:right="95"/>
      </w:pPr>
      <w:r>
        <w:t>Introduction</w:t>
      </w:r>
    </w:p>
    <w:p w14:paraId="55FD2196" w14:textId="554831AB" w:rsidR="006D2E88" w:rsidRDefault="009F7099" w:rsidP="0098249F">
      <w:r>
        <w:t xml:space="preserve">When a ray of light </w:t>
      </w:r>
      <w:r w:rsidR="006D2E88">
        <w:t xml:space="preserve">travels through a medium with refractive index </w:t>
      </w:r>
      <w:r w:rsidR="006D2E88" w:rsidRPr="00876A23">
        <w:rPr>
          <w:i/>
        </w:rPr>
        <w:t>n</w:t>
      </w:r>
      <w:r w:rsidR="006D2E88" w:rsidRPr="006D2E88">
        <w:rPr>
          <w:vertAlign w:val="subscript"/>
        </w:rPr>
        <w:t>1</w:t>
      </w:r>
      <w:r w:rsidR="006D2E88">
        <w:t xml:space="preserve"> and </w:t>
      </w:r>
      <w:r>
        <w:t xml:space="preserve">meets a boundary </w:t>
      </w:r>
      <w:r w:rsidR="006D2E88">
        <w:t xml:space="preserve">with another medium of refractive index </w:t>
      </w:r>
      <w:r w:rsidR="006D2E88" w:rsidRPr="00876A23">
        <w:rPr>
          <w:i/>
        </w:rPr>
        <w:t>n</w:t>
      </w:r>
      <w:r w:rsidR="006D2E88" w:rsidRPr="006D2E88">
        <w:rPr>
          <w:vertAlign w:val="subscript"/>
        </w:rPr>
        <w:t>2</w:t>
      </w:r>
      <w:r>
        <w:t xml:space="preserve">, it is partly reflected and partly refracted. </w:t>
      </w:r>
      <w:r w:rsidR="006D2E88">
        <w:t xml:space="preserve">If the incident angle is </w:t>
      </w:r>
      <w:r w:rsidR="00C9116C" w:rsidRPr="00876A23">
        <w:rPr>
          <w:i/>
        </w:rPr>
        <w:sym w:font="Symbol" w:char="F071"/>
      </w:r>
      <w:r w:rsidR="00C9116C">
        <w:rPr>
          <w:vertAlign w:val="subscript"/>
        </w:rPr>
        <w:t>1</w:t>
      </w:r>
      <w:r w:rsidR="006D2E88">
        <w:t xml:space="preserve"> and the refracted angle is </w:t>
      </w:r>
      <w:r w:rsidR="00C9116C" w:rsidRPr="00E61F5B">
        <w:rPr>
          <w:i/>
        </w:rPr>
        <w:sym w:font="Symbol" w:char="F071"/>
      </w:r>
      <w:r w:rsidR="00C9116C">
        <w:rPr>
          <w:vertAlign w:val="subscript"/>
        </w:rPr>
        <w:t>2</w:t>
      </w:r>
      <w:r w:rsidR="006D2E88">
        <w:t>, then</w:t>
      </w:r>
      <w:r w:rsidR="001219AC">
        <w:t>:</w:t>
      </w:r>
      <w:r w:rsidR="006D2E88">
        <w:t xml:space="preserve"> </w:t>
      </w:r>
    </w:p>
    <w:p w14:paraId="6AFE5719" w14:textId="5BB930DD" w:rsidR="00B21E4C" w:rsidRDefault="00356069" w:rsidP="006D2E88">
      <w:pPr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fun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func>
        <m:r>
          <w:rPr>
            <w:rFonts w:ascii="Cambria Math" w:hAnsi="Cambria Math"/>
          </w:rPr>
          <m:t xml:space="preserve"> </m:t>
        </m:r>
      </m:oMath>
      <w:r w:rsidR="006D2E88">
        <w:t xml:space="preserve">    </w:t>
      </w:r>
      <w:proofErr w:type="gramStart"/>
      <w:r w:rsidR="006D2E88">
        <w:t>or</w:t>
      </w:r>
      <w:proofErr w:type="gramEnd"/>
      <w:r w:rsidR="006D2E88">
        <w:t xml:space="preserve">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func>
          </m:num>
          <m:den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func>
          </m:den>
        </m:f>
      </m:oMath>
    </w:p>
    <w:p w14:paraId="3A605198" w14:textId="77777777" w:rsidR="00B06022" w:rsidRPr="00B06022" w:rsidRDefault="00B06022" w:rsidP="00B06022">
      <w:r>
        <w:t>This relationship is known as Snell’s law.</w:t>
      </w:r>
    </w:p>
    <w:p w14:paraId="1C270345" w14:textId="0A6D9046" w:rsidR="0019329D" w:rsidRDefault="00295E4C" w:rsidP="00511FE4">
      <w:pPr>
        <w:pStyle w:val="Heading3"/>
        <w:spacing w:before="240"/>
        <w:ind w:right="95"/>
      </w:pPr>
      <w:r>
        <w:t>Procedure</w:t>
      </w:r>
    </w:p>
    <w:p w14:paraId="3FCAAFD5" w14:textId="3CF071AE" w:rsidR="00876A23" w:rsidRDefault="00CF6AE7" w:rsidP="0092024A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54" w:hanging="454"/>
      </w:pPr>
      <w:r>
        <w:t>Draw a straight line in the middle of the sheet of paper (this</w:t>
      </w:r>
      <w:r w:rsidR="00876A23">
        <w:t xml:space="preserve"> will be the line normal to the </w:t>
      </w:r>
      <w:r>
        <w:t>boundary). Draw another line perpendicular to the first one.</w:t>
      </w:r>
      <w:r w:rsidR="009F7099" w:rsidRPr="009F7099">
        <w:rPr>
          <w:noProof/>
          <w:lang w:eastAsia="en-GB"/>
        </w:rPr>
        <w:t xml:space="preserve"> </w:t>
      </w:r>
    </w:p>
    <w:p w14:paraId="1FB539BF" w14:textId="5DC85405" w:rsidR="00CF6AE7" w:rsidRDefault="00876A23" w:rsidP="0092024A">
      <w:pPr>
        <w:pStyle w:val="Question"/>
        <w:tabs>
          <w:tab w:val="clear" w:pos="567"/>
          <w:tab w:val="left" w:pos="426"/>
        </w:tabs>
        <w:spacing w:after="200"/>
        <w:ind w:left="454"/>
        <w:jc w:val="center"/>
      </w:pPr>
      <w:r>
        <w:rPr>
          <w:noProof/>
          <w:lang w:eastAsia="en-GB"/>
        </w:rPr>
        <w:drawing>
          <wp:inline distT="0" distB="0" distL="0" distR="0" wp14:anchorId="0E18119F" wp14:editId="680DF75F">
            <wp:extent cx="1917192" cy="2161032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4-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192" cy="2161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5EF08" w14:textId="77777777" w:rsidR="00876A23" w:rsidRDefault="00876A23" w:rsidP="0092024A">
      <w:pPr>
        <w:pStyle w:val="Question"/>
        <w:tabs>
          <w:tab w:val="clear" w:pos="567"/>
          <w:tab w:val="left" w:pos="426"/>
        </w:tabs>
        <w:spacing w:after="200"/>
        <w:ind w:left="454"/>
        <w:jc w:val="center"/>
      </w:pPr>
    </w:p>
    <w:p w14:paraId="06751966" w14:textId="5B121DCB" w:rsidR="00CF6AE7" w:rsidRDefault="00CF6AE7" w:rsidP="0092024A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54" w:hanging="454"/>
      </w:pPr>
      <w:r>
        <w:t xml:space="preserve">Using the protractor mark angles of </w:t>
      </w:r>
      <w:r w:rsidR="00AF0F86">
        <w:t xml:space="preserve">incidence, </w:t>
      </w:r>
      <w:r w:rsidR="00C9116C" w:rsidRPr="00E61F5B">
        <w:rPr>
          <w:i/>
        </w:rPr>
        <w:sym w:font="Symbol" w:char="F071"/>
      </w:r>
      <w:r w:rsidR="00C9116C">
        <w:rPr>
          <w:vertAlign w:val="subscript"/>
        </w:rPr>
        <w:t>1</w:t>
      </w:r>
      <w:r w:rsidR="00AF0F86">
        <w:t xml:space="preserve">, of </w:t>
      </w:r>
      <w:r>
        <w:t>1</w:t>
      </w:r>
      <w:r w:rsidR="009F7099">
        <w:t>0</w:t>
      </w:r>
      <w:r>
        <w:t xml:space="preserve">°, </w:t>
      </w:r>
      <w:r w:rsidR="009F7099">
        <w:t>2</w:t>
      </w:r>
      <w:r>
        <w:t xml:space="preserve">0°, </w:t>
      </w:r>
      <w:r w:rsidR="009F7099">
        <w:t>30</w:t>
      </w:r>
      <w:r>
        <w:t xml:space="preserve">°, </w:t>
      </w:r>
      <w:r w:rsidR="009F7099">
        <w:t>4</w:t>
      </w:r>
      <w:r>
        <w:t xml:space="preserve">0° and </w:t>
      </w:r>
      <w:r w:rsidR="009F7099">
        <w:t>50</w:t>
      </w:r>
      <w:r>
        <w:t xml:space="preserve">°. </w:t>
      </w:r>
    </w:p>
    <w:p w14:paraId="555C1CB2" w14:textId="2D790845" w:rsidR="00B00DE7" w:rsidRDefault="00CF6AE7" w:rsidP="0092024A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54" w:hanging="454"/>
      </w:pPr>
      <w:r>
        <w:t>Place the Perspex block on the sheet in such a way that the straight edge is aligned with the second line and the intercept of the two lines is in the middle of the straight edge</w:t>
      </w:r>
      <w:r w:rsidR="00AF0F86">
        <w:t xml:space="preserve"> (point O)</w:t>
      </w:r>
      <w:r>
        <w:t xml:space="preserve">. </w:t>
      </w:r>
      <w:r w:rsidR="00AF0F86">
        <w:t>Draw the outline of the block so it can easily be placed at the same position.</w:t>
      </w:r>
      <w:r>
        <w:t xml:space="preserve"> </w:t>
      </w:r>
      <w:r w:rsidR="00DB7759">
        <w:t xml:space="preserve"> </w:t>
      </w:r>
      <w:r w:rsidR="001D51C1">
        <w:t xml:space="preserve"> </w:t>
      </w:r>
    </w:p>
    <w:p w14:paraId="49C5ACCF" w14:textId="379A17B8" w:rsidR="00CF6AE7" w:rsidRDefault="00AF0F86" w:rsidP="0092024A">
      <w:pPr>
        <w:pStyle w:val="Question"/>
        <w:numPr>
          <w:ilvl w:val="0"/>
          <w:numId w:val="8"/>
        </w:numPr>
        <w:spacing w:after="200"/>
        <w:ind w:left="426" w:hanging="426"/>
      </w:pPr>
      <w:r>
        <w:lastRenderedPageBreak/>
        <w:t>Connect the ray box to the power supply (</w:t>
      </w:r>
      <w:r w:rsidR="008B585A">
        <w:t xml:space="preserve">use the voltage according to the ray box specification, usually </w:t>
      </w:r>
      <w:r>
        <w:t>12</w:t>
      </w:r>
      <w:r w:rsidR="00C9116C" w:rsidRPr="001219AC">
        <w:rPr>
          <w:w w:val="33"/>
        </w:rPr>
        <w:t xml:space="preserve"> </w:t>
      </w:r>
      <w:r>
        <w:t>V) and use a narrow slit to form a ray. This is the incident ray.</w:t>
      </w:r>
    </w:p>
    <w:p w14:paraId="3F835A5D" w14:textId="610DEBA8" w:rsidR="009F7099" w:rsidRDefault="00AF0F86" w:rsidP="0092024A">
      <w:pPr>
        <w:pStyle w:val="Question"/>
        <w:numPr>
          <w:ilvl w:val="0"/>
          <w:numId w:val="8"/>
        </w:numPr>
        <w:spacing w:after="200"/>
        <w:ind w:left="426" w:hanging="426"/>
      </w:pPr>
      <w:r>
        <w:t xml:space="preserve">Align the ray </w:t>
      </w:r>
      <w:r w:rsidR="009F7099">
        <w:t>box so</w:t>
      </w:r>
      <w:r>
        <w:t xml:space="preserve"> that the incident ray goes through the curved side of the block at 1</w:t>
      </w:r>
      <w:r w:rsidR="008B585A">
        <w:t>0</w:t>
      </w:r>
      <w:r>
        <w:t>° from the normal to the boundary (</w:t>
      </w:r>
      <w:r w:rsidR="00C9116C" w:rsidRPr="00E61F5B">
        <w:rPr>
          <w:i/>
        </w:rPr>
        <w:sym w:font="Symbol" w:char="F071"/>
      </w:r>
      <w:r w:rsidR="00C9116C">
        <w:rPr>
          <w:vertAlign w:val="subscript"/>
        </w:rPr>
        <w:t>1</w:t>
      </w:r>
      <w:r w:rsidR="00C9116C">
        <w:t xml:space="preserve"> </w:t>
      </w:r>
      <w:r>
        <w:t>=</w:t>
      </w:r>
      <w:r w:rsidR="00C9116C">
        <w:t xml:space="preserve"> </w:t>
      </w:r>
      <w:r>
        <w:t>1</w:t>
      </w:r>
      <w:r w:rsidR="008B585A">
        <w:t>0</w:t>
      </w:r>
      <w:r>
        <w:t xml:space="preserve">°) and meets the straight edge at point O. </w:t>
      </w:r>
    </w:p>
    <w:p w14:paraId="2D2E8178" w14:textId="6E166FFC" w:rsidR="00AF0F86" w:rsidRDefault="00AF0F86" w:rsidP="0092024A">
      <w:pPr>
        <w:pStyle w:val="Question"/>
        <w:numPr>
          <w:ilvl w:val="0"/>
          <w:numId w:val="8"/>
        </w:numPr>
        <w:spacing w:after="200"/>
        <w:ind w:left="426" w:hanging="426"/>
      </w:pPr>
      <w:r>
        <w:t>The refracted ray should be visible</w:t>
      </w:r>
      <w:r w:rsidR="009F7099">
        <w:t xml:space="preserve">. Mark this ray on the paper and measure its angle from the normal to the boundary, i.e. the angle of refraction, </w:t>
      </w:r>
      <w:r w:rsidR="00C9116C" w:rsidRPr="00E61F5B">
        <w:rPr>
          <w:i/>
        </w:rPr>
        <w:sym w:font="Symbol" w:char="F071"/>
      </w:r>
      <w:r w:rsidR="00C9116C">
        <w:rPr>
          <w:vertAlign w:val="subscript"/>
        </w:rPr>
        <w:t>2</w:t>
      </w:r>
      <w:r w:rsidR="009F7099">
        <w:t>.</w:t>
      </w:r>
      <w:r>
        <w:t xml:space="preserve"> </w:t>
      </w:r>
    </w:p>
    <w:p w14:paraId="6C29B0B5" w14:textId="52230347" w:rsidR="009F7099" w:rsidRDefault="009F7099" w:rsidP="0092024A">
      <w:pPr>
        <w:pStyle w:val="Question"/>
        <w:numPr>
          <w:ilvl w:val="0"/>
          <w:numId w:val="8"/>
        </w:numPr>
        <w:spacing w:after="200"/>
        <w:ind w:left="426" w:hanging="426"/>
      </w:pPr>
      <w:r>
        <w:t>Calculate sin</w:t>
      </w:r>
      <w:r w:rsidR="00C9116C">
        <w:t xml:space="preserve"> </w:t>
      </w:r>
      <w:r w:rsidR="00C9116C" w:rsidRPr="00E61F5B">
        <w:rPr>
          <w:i/>
        </w:rPr>
        <w:sym w:font="Symbol" w:char="F071"/>
      </w:r>
      <w:r w:rsidR="00C9116C">
        <w:rPr>
          <w:vertAlign w:val="subscript"/>
        </w:rPr>
        <w:t>1</w:t>
      </w:r>
      <w:r>
        <w:t xml:space="preserve"> and sin</w:t>
      </w:r>
      <w:r w:rsidR="00C9116C">
        <w:t xml:space="preserve"> </w:t>
      </w:r>
      <w:r w:rsidR="00C9116C" w:rsidRPr="00E61F5B">
        <w:rPr>
          <w:i/>
        </w:rPr>
        <w:sym w:font="Symbol" w:char="F071"/>
      </w:r>
      <w:r w:rsidR="00C9116C">
        <w:rPr>
          <w:vertAlign w:val="subscript"/>
        </w:rPr>
        <w:t>2</w:t>
      </w:r>
      <w:r>
        <w:t>. Record your measurements and calculations in a suitable table.</w:t>
      </w:r>
    </w:p>
    <w:p w14:paraId="166D00F9" w14:textId="344315B3" w:rsidR="000A1D0F" w:rsidRDefault="000A1D0F" w:rsidP="0092024A">
      <w:pPr>
        <w:pStyle w:val="Question"/>
        <w:numPr>
          <w:ilvl w:val="0"/>
          <w:numId w:val="8"/>
        </w:numPr>
        <w:spacing w:after="200"/>
        <w:ind w:left="426" w:hanging="426"/>
      </w:pPr>
      <w:r>
        <w:t xml:space="preserve">Repeat steps </w:t>
      </w:r>
      <w:r w:rsidRPr="00876A23">
        <w:rPr>
          <w:b/>
        </w:rPr>
        <w:t>5</w:t>
      </w:r>
      <w:r w:rsidR="00B2275D">
        <w:t>–</w:t>
      </w:r>
      <w:r w:rsidRPr="00876A23">
        <w:rPr>
          <w:b/>
        </w:rPr>
        <w:t xml:space="preserve">7 </w:t>
      </w:r>
      <w:r>
        <w:t>for angles of incidence,</w:t>
      </w:r>
      <w:r w:rsidR="00C9116C" w:rsidRPr="00C9116C">
        <w:rPr>
          <w:i/>
        </w:rPr>
        <w:t xml:space="preserve"> </w:t>
      </w:r>
      <w:r w:rsidR="00C9116C" w:rsidRPr="00E61F5B">
        <w:rPr>
          <w:i/>
        </w:rPr>
        <w:sym w:font="Symbol" w:char="F071"/>
      </w:r>
      <w:r w:rsidR="00C9116C">
        <w:rPr>
          <w:vertAlign w:val="subscript"/>
        </w:rPr>
        <w:t>1</w:t>
      </w:r>
      <w:r>
        <w:t>, of 20°, 30°, 40° and 50°.</w:t>
      </w:r>
    </w:p>
    <w:p w14:paraId="6ECB159D" w14:textId="77777777" w:rsidR="00270F92" w:rsidRDefault="00101078" w:rsidP="0092024A">
      <w:pPr>
        <w:pStyle w:val="Question"/>
        <w:numPr>
          <w:ilvl w:val="0"/>
          <w:numId w:val="8"/>
        </w:numPr>
        <w:spacing w:after="200"/>
        <w:ind w:left="426" w:hanging="426"/>
      </w:pPr>
      <w:r>
        <w:t>Assuming that the refractive index of air is equal to 1, p</w:t>
      </w:r>
      <w:r w:rsidR="00137400">
        <w:t xml:space="preserve">lot a graph </w:t>
      </w:r>
      <w:r w:rsidR="00270F92">
        <w:t>with suitable ax</w:t>
      </w:r>
      <w:r>
        <w:t>e</w:t>
      </w:r>
      <w:r w:rsidR="00270F92">
        <w:t xml:space="preserve">s that will allow you to determine the </w:t>
      </w:r>
      <w:r w:rsidR="009F7099">
        <w:t>refractive index of Perspex</w:t>
      </w:r>
      <w:r w:rsidR="00270F92">
        <w:t xml:space="preserve"> from its gradient.</w:t>
      </w:r>
    </w:p>
    <w:p w14:paraId="00091AFB" w14:textId="77777777" w:rsidR="00B21E4C" w:rsidRDefault="00B21E4C" w:rsidP="00511FE4">
      <w:pPr>
        <w:pStyle w:val="Heading3"/>
        <w:spacing w:before="240"/>
      </w:pPr>
      <w:r>
        <w:t>Questions</w:t>
      </w:r>
    </w:p>
    <w:p w14:paraId="785CB4DF" w14:textId="77777777" w:rsidR="00F12EF4" w:rsidRDefault="00101078" w:rsidP="0092024A">
      <w:pPr>
        <w:pStyle w:val="Question"/>
        <w:numPr>
          <w:ilvl w:val="0"/>
          <w:numId w:val="13"/>
        </w:numPr>
        <w:tabs>
          <w:tab w:val="clear" w:pos="1134"/>
        </w:tabs>
        <w:spacing w:after="200"/>
        <w:ind w:left="426" w:hanging="426"/>
      </w:pPr>
      <w:r>
        <w:t xml:space="preserve">Were you able to take measurements for all incident angles? </w:t>
      </w:r>
    </w:p>
    <w:p w14:paraId="68B01A54" w14:textId="77777777" w:rsidR="008549DB" w:rsidRDefault="008549DB" w:rsidP="0092024A">
      <w:pPr>
        <w:pStyle w:val="Question"/>
        <w:tabs>
          <w:tab w:val="clear" w:pos="567"/>
          <w:tab w:val="clear" w:pos="1134"/>
          <w:tab w:val="left" w:pos="426"/>
        </w:tabs>
        <w:spacing w:after="200"/>
        <w:ind w:left="426" w:hanging="426"/>
      </w:pPr>
    </w:p>
    <w:p w14:paraId="46EEEC9F" w14:textId="77777777" w:rsidR="008549DB" w:rsidRDefault="008549DB" w:rsidP="0092024A">
      <w:pPr>
        <w:pStyle w:val="Question"/>
        <w:tabs>
          <w:tab w:val="clear" w:pos="567"/>
          <w:tab w:val="clear" w:pos="1134"/>
          <w:tab w:val="left" w:pos="426"/>
        </w:tabs>
        <w:spacing w:after="200"/>
        <w:ind w:left="426" w:hanging="426"/>
      </w:pPr>
    </w:p>
    <w:p w14:paraId="1793B6DE" w14:textId="207360AB" w:rsidR="00101078" w:rsidRDefault="00101078" w:rsidP="0092024A">
      <w:pPr>
        <w:pStyle w:val="Question"/>
        <w:numPr>
          <w:ilvl w:val="0"/>
          <w:numId w:val="13"/>
        </w:numPr>
        <w:tabs>
          <w:tab w:val="clear" w:pos="567"/>
          <w:tab w:val="clear" w:pos="1134"/>
          <w:tab w:val="left" w:pos="709"/>
        </w:tabs>
        <w:spacing w:after="200"/>
        <w:ind w:left="426" w:hanging="426"/>
      </w:pPr>
      <w:r>
        <w:t xml:space="preserve">What is </w:t>
      </w:r>
      <w:r w:rsidR="001219AC">
        <w:t xml:space="preserve">the </w:t>
      </w:r>
      <w:r>
        <w:t>critical angle? How can you determine the critical angle for Perspex?</w:t>
      </w:r>
    </w:p>
    <w:p w14:paraId="56F85D03" w14:textId="77777777" w:rsidR="008549DB" w:rsidRDefault="008549DB" w:rsidP="008549DB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11152059" w14:textId="77777777" w:rsidR="008549DB" w:rsidRDefault="008549DB" w:rsidP="008549DB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7286AB27" w14:textId="77777777" w:rsidR="008549DB" w:rsidRDefault="008549DB" w:rsidP="008549DB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3360F98B" w14:textId="77777777" w:rsidR="008549DB" w:rsidRDefault="008549DB" w:rsidP="008549DB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2A52256F" w14:textId="77777777" w:rsidR="008549DB" w:rsidRDefault="008549DB" w:rsidP="008549DB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2C72E84B" w14:textId="77777777" w:rsidR="008549DB" w:rsidRDefault="008549DB" w:rsidP="008549DB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4F465E56" w14:textId="77777777" w:rsidR="008549DB" w:rsidRDefault="008549DB" w:rsidP="008549DB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599DE1F5" w14:textId="77777777" w:rsidR="008549DB" w:rsidRDefault="008549DB" w:rsidP="008549DB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18F2503E" w14:textId="77777777" w:rsidR="008549DB" w:rsidRDefault="008549DB" w:rsidP="008549DB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18DB1A79" w14:textId="41AD3E37" w:rsidR="00101078" w:rsidRDefault="00101078" w:rsidP="002A54FB">
      <w:pPr>
        <w:pStyle w:val="Question"/>
        <w:numPr>
          <w:ilvl w:val="0"/>
          <w:numId w:val="13"/>
        </w:numPr>
        <w:tabs>
          <w:tab w:val="clear" w:pos="1134"/>
        </w:tabs>
        <w:spacing w:after="200"/>
        <w:ind w:left="426" w:hanging="426"/>
      </w:pPr>
      <w:r>
        <w:t>What do you expect to observe if instead of white light you used rays of blue and red light?</w:t>
      </w:r>
    </w:p>
    <w:sectPr w:rsidR="00101078">
      <w:headerReference w:type="default" r:id="rId9"/>
      <w:footerReference w:type="default" r:id="rId10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907577" w15:done="0"/>
  <w15:commentEx w15:paraId="03F70F1B" w15:paraIdParent="1F907577" w15:done="0"/>
  <w15:commentEx w15:paraId="380B2D1D" w15:done="0"/>
  <w15:commentEx w15:paraId="1FCE951E" w15:paraIdParent="380B2D1D" w15:done="0"/>
  <w15:commentEx w15:paraId="533B62BC" w15:done="0"/>
  <w15:commentEx w15:paraId="2847A109" w15:paraIdParent="533B62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A529E" w14:textId="77777777" w:rsidR="00D13D88" w:rsidRDefault="00D13D88">
      <w:r>
        <w:separator/>
      </w:r>
    </w:p>
  </w:endnote>
  <w:endnote w:type="continuationSeparator" w:id="0">
    <w:p w14:paraId="2F3429E0" w14:textId="77777777" w:rsidR="00D13D88" w:rsidRDefault="00D1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488A9" w14:textId="4C15EA57" w:rsidR="001E4F3F" w:rsidRDefault="008567B5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1E4F3F">
      <w:t>Cambridge University Press 201</w:t>
    </w:r>
    <w:r w:rsidR="00356069">
      <w:t>5</w:t>
    </w:r>
    <w:r w:rsidR="001E4F3F">
      <w:t>. All rights reserved.</w:t>
    </w:r>
    <w:r w:rsidR="001E4F3F">
      <w:tab/>
      <w:t xml:space="preserve">Page </w:t>
    </w:r>
    <w:r w:rsidR="001E4F3F">
      <w:rPr>
        <w:rStyle w:val="PageNumber"/>
      </w:rPr>
      <w:fldChar w:fldCharType="begin"/>
    </w:r>
    <w:r w:rsidR="001E4F3F">
      <w:rPr>
        <w:rStyle w:val="PageNumber"/>
      </w:rPr>
      <w:instrText xml:space="preserve"> PAGE </w:instrText>
    </w:r>
    <w:r w:rsidR="001E4F3F">
      <w:rPr>
        <w:rStyle w:val="PageNumber"/>
      </w:rPr>
      <w:fldChar w:fldCharType="separate"/>
    </w:r>
    <w:r w:rsidR="00356069">
      <w:rPr>
        <w:rStyle w:val="PageNumber"/>
        <w:noProof/>
      </w:rPr>
      <w:t>2</w:t>
    </w:r>
    <w:r w:rsidR="001E4F3F">
      <w:rPr>
        <w:rStyle w:val="PageNumber"/>
      </w:rPr>
      <w:fldChar w:fldCharType="end"/>
    </w:r>
    <w:r w:rsidR="001E4F3F">
      <w:rPr>
        <w:rStyle w:val="PageNumber"/>
      </w:rPr>
      <w:t xml:space="preserve"> of </w:t>
    </w:r>
    <w:r w:rsidR="001E4F3F">
      <w:rPr>
        <w:rStyle w:val="PageNumber"/>
      </w:rPr>
      <w:fldChar w:fldCharType="begin"/>
    </w:r>
    <w:r w:rsidR="001E4F3F">
      <w:rPr>
        <w:rStyle w:val="PageNumber"/>
      </w:rPr>
      <w:instrText xml:space="preserve"> NUMPAGES </w:instrText>
    </w:r>
    <w:r w:rsidR="001E4F3F">
      <w:rPr>
        <w:rStyle w:val="PageNumber"/>
      </w:rPr>
      <w:fldChar w:fldCharType="separate"/>
    </w:r>
    <w:r w:rsidR="00356069">
      <w:rPr>
        <w:rStyle w:val="PageNumber"/>
        <w:noProof/>
      </w:rPr>
      <w:t>2</w:t>
    </w:r>
    <w:r w:rsidR="001E4F3F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48DEC" w14:textId="77777777" w:rsidR="00D13D88" w:rsidRDefault="00D13D88">
      <w:r>
        <w:separator/>
      </w:r>
    </w:p>
  </w:footnote>
  <w:footnote w:type="continuationSeparator" w:id="0">
    <w:p w14:paraId="5955EB88" w14:textId="77777777" w:rsidR="00D13D88" w:rsidRDefault="00D13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0F1B0" w14:textId="77777777" w:rsidR="001E4F3F" w:rsidRDefault="001E4F3F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1866F0F4" wp14:editId="40368C65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Physics</w:t>
    </w:r>
    <w:r>
      <w:t xml:space="preserve"> for the IB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767"/>
    <w:multiLevelType w:val="hybridMultilevel"/>
    <w:tmpl w:val="C1FC51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712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7CD0"/>
    <w:multiLevelType w:val="multilevel"/>
    <w:tmpl w:val="236C2824"/>
    <w:lvl w:ilvl="0">
      <w:start w:val="1"/>
      <w:numFmt w:val="lowerLetter"/>
      <w:lvlText w:val="%1)"/>
      <w:lvlJc w:val="left"/>
      <w:pPr>
        <w:ind w:left="930" w:hanging="57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D1884"/>
    <w:multiLevelType w:val="hybridMultilevel"/>
    <w:tmpl w:val="30988136"/>
    <w:lvl w:ilvl="0" w:tplc="61AA2296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56822"/>
    <w:multiLevelType w:val="hybridMultilevel"/>
    <w:tmpl w:val="95D8E374"/>
    <w:lvl w:ilvl="0" w:tplc="34F26FB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00AB6"/>
    <w:multiLevelType w:val="hybridMultilevel"/>
    <w:tmpl w:val="29FCF75A"/>
    <w:lvl w:ilvl="0" w:tplc="80D4D7C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3C07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5A67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EE8EB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C0E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A80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580F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48F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14ED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1DD"/>
    <w:multiLevelType w:val="hybridMultilevel"/>
    <w:tmpl w:val="7CF8D17A"/>
    <w:lvl w:ilvl="0" w:tplc="84923ADA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5896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783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6AE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6C26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BAD5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A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72CD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C054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7"/>
  </w:num>
  <w:num w:numId="10">
    <w:abstractNumId w:val="0"/>
  </w:num>
  <w:num w:numId="11">
    <w:abstractNumId w:val="4"/>
  </w:num>
  <w:num w:numId="12">
    <w:abstractNumId w:val="3"/>
  </w:num>
  <w:num w:numId="13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934A6"/>
    <w:rsid w:val="000A1636"/>
    <w:rsid w:val="000A1D0F"/>
    <w:rsid w:val="000B23C8"/>
    <w:rsid w:val="000F369F"/>
    <w:rsid w:val="00101078"/>
    <w:rsid w:val="00105573"/>
    <w:rsid w:val="00113667"/>
    <w:rsid w:val="001162E6"/>
    <w:rsid w:val="001219AC"/>
    <w:rsid w:val="00137400"/>
    <w:rsid w:val="00175959"/>
    <w:rsid w:val="0019329D"/>
    <w:rsid w:val="001D1080"/>
    <w:rsid w:val="001D51C1"/>
    <w:rsid w:val="001E4F3F"/>
    <w:rsid w:val="001F4A85"/>
    <w:rsid w:val="002473E8"/>
    <w:rsid w:val="00270F92"/>
    <w:rsid w:val="00272409"/>
    <w:rsid w:val="00295E4C"/>
    <w:rsid w:val="002A54FB"/>
    <w:rsid w:val="002E034D"/>
    <w:rsid w:val="00324660"/>
    <w:rsid w:val="00356069"/>
    <w:rsid w:val="00382EB2"/>
    <w:rsid w:val="00397B8C"/>
    <w:rsid w:val="003A0CF7"/>
    <w:rsid w:val="003A67E6"/>
    <w:rsid w:val="003C6555"/>
    <w:rsid w:val="00495348"/>
    <w:rsid w:val="004E62A6"/>
    <w:rsid w:val="00511FE4"/>
    <w:rsid w:val="005143BA"/>
    <w:rsid w:val="005156C9"/>
    <w:rsid w:val="00564F50"/>
    <w:rsid w:val="005772B9"/>
    <w:rsid w:val="00593726"/>
    <w:rsid w:val="005E2E51"/>
    <w:rsid w:val="00626016"/>
    <w:rsid w:val="006337B7"/>
    <w:rsid w:val="00636EB4"/>
    <w:rsid w:val="00636FBE"/>
    <w:rsid w:val="00663570"/>
    <w:rsid w:val="00670D11"/>
    <w:rsid w:val="006D2E88"/>
    <w:rsid w:val="006E4AF2"/>
    <w:rsid w:val="007054A5"/>
    <w:rsid w:val="00711C63"/>
    <w:rsid w:val="00767DD9"/>
    <w:rsid w:val="00784B1D"/>
    <w:rsid w:val="00790019"/>
    <w:rsid w:val="007B25B6"/>
    <w:rsid w:val="007C508A"/>
    <w:rsid w:val="0081269F"/>
    <w:rsid w:val="00831892"/>
    <w:rsid w:val="008409CB"/>
    <w:rsid w:val="00844681"/>
    <w:rsid w:val="008549DB"/>
    <w:rsid w:val="008567B5"/>
    <w:rsid w:val="00876A23"/>
    <w:rsid w:val="008819D7"/>
    <w:rsid w:val="008B585A"/>
    <w:rsid w:val="008D5B74"/>
    <w:rsid w:val="008E424E"/>
    <w:rsid w:val="0091236E"/>
    <w:rsid w:val="0092024A"/>
    <w:rsid w:val="009433B8"/>
    <w:rsid w:val="00954098"/>
    <w:rsid w:val="00956F2C"/>
    <w:rsid w:val="009651AA"/>
    <w:rsid w:val="0098249F"/>
    <w:rsid w:val="009A1B7E"/>
    <w:rsid w:val="009C6085"/>
    <w:rsid w:val="009F2AA1"/>
    <w:rsid w:val="009F6F60"/>
    <w:rsid w:val="009F7099"/>
    <w:rsid w:val="00A0781B"/>
    <w:rsid w:val="00AB3110"/>
    <w:rsid w:val="00AF0F86"/>
    <w:rsid w:val="00B00DE7"/>
    <w:rsid w:val="00B06022"/>
    <w:rsid w:val="00B21E4C"/>
    <w:rsid w:val="00B2275D"/>
    <w:rsid w:val="00B60288"/>
    <w:rsid w:val="00B82CEB"/>
    <w:rsid w:val="00B977F1"/>
    <w:rsid w:val="00BE34AA"/>
    <w:rsid w:val="00C07000"/>
    <w:rsid w:val="00C152D6"/>
    <w:rsid w:val="00C32336"/>
    <w:rsid w:val="00C9116C"/>
    <w:rsid w:val="00CA0163"/>
    <w:rsid w:val="00CA3F31"/>
    <w:rsid w:val="00CA4D3A"/>
    <w:rsid w:val="00CA73F8"/>
    <w:rsid w:val="00CB019F"/>
    <w:rsid w:val="00CC2500"/>
    <w:rsid w:val="00CF1450"/>
    <w:rsid w:val="00CF6AE7"/>
    <w:rsid w:val="00D13D88"/>
    <w:rsid w:val="00D22CDB"/>
    <w:rsid w:val="00D23248"/>
    <w:rsid w:val="00D775E2"/>
    <w:rsid w:val="00DB7759"/>
    <w:rsid w:val="00DE7536"/>
    <w:rsid w:val="00E54E2C"/>
    <w:rsid w:val="00EC365A"/>
    <w:rsid w:val="00F063B0"/>
    <w:rsid w:val="00F12EF4"/>
    <w:rsid w:val="00F419E7"/>
    <w:rsid w:val="00F61C03"/>
    <w:rsid w:val="00F8776C"/>
    <w:rsid w:val="00FC795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o:colormru v:ext="edit" colors="#fc9"/>
    </o:shapedefaults>
    <o:shapelayout v:ext="edit">
      <o:idmap v:ext="edit" data="1"/>
    </o:shapelayout>
  </w:shapeDefaults>
  <w:decimalSymbol w:val="."/>
  <w:listSeparator w:val=","/>
  <w14:docId w14:val="0666D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BalloonText">
    <w:name w:val="Balloon Text"/>
    <w:basedOn w:val="Normal"/>
    <w:link w:val="BalloonTextChar"/>
    <w:rsid w:val="0027240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2409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7240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72409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72409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BalloonText">
    <w:name w:val="Balloon Text"/>
    <w:basedOn w:val="Normal"/>
    <w:link w:val="BalloonTextChar"/>
    <w:rsid w:val="0027240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2409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7240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72409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72409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16</TotalTime>
  <Pages>2</Pages>
  <Words>406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13</cp:revision>
  <cp:lastPrinted>2014-09-25T08:44:00Z</cp:lastPrinted>
  <dcterms:created xsi:type="dcterms:W3CDTF">2014-09-04T20:15:00Z</dcterms:created>
  <dcterms:modified xsi:type="dcterms:W3CDTF">2014-10-23T09:29:00Z</dcterms:modified>
</cp:coreProperties>
</file>